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股指期货所得课税规则的构建论文</w:t>
      </w:r>
      <w:bookmarkEnd w:id="1"/>
    </w:p>
    <w:p>
      <w:pPr>
        <w:jc w:val="center"/>
        <w:spacing w:before="0" w:after="450"/>
      </w:pPr>
      <w:r>
        <w:rPr>
          <w:rFonts w:ascii="Arial" w:hAnsi="Arial" w:eastAsia="Arial" w:cs="Arial"/>
          <w:color w:val="999999"/>
          <w:sz w:val="20"/>
          <w:szCs w:val="20"/>
        </w:rPr>
        <w:t xml:space="preserve">来源：网络  作者：空山新雨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股指期货所得课税规则的构建，供您参考阅读，希望对您设计论文有所帮助!一、股指期货交易所得的可税性分析不主张对股指期货征收所得税的学者认为，期权或期货交易均为保证金交易，其交易额是一种虚拟金额，且其交易结果具有零和性的特点，...</w:t>
      </w:r>
    </w:p>
    <w:p>
      <w:pPr>
        <w:ind w:left="0" w:right="0" w:firstLine="560"/>
        <w:spacing w:before="450" w:after="450" w:line="312" w:lineRule="auto"/>
      </w:pPr>
      <w:r>
        <w:rPr>
          <w:rFonts w:ascii="宋体" w:hAnsi="宋体" w:eastAsia="宋体" w:cs="宋体"/>
          <w:color w:val="000"/>
          <w:sz w:val="28"/>
          <w:szCs w:val="28"/>
        </w:rPr>
        <w:t xml:space="preserve">摘要：论文网带来了股指期货所得课税规则的构建，供您参考阅读，希望对您设计论文有所帮助!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一、股指期货交易所得的可税性分析</w:t>
      </w:r>
    </w:p>
    <w:p>
      <w:pPr>
        <w:ind w:left="0" w:right="0" w:firstLine="560"/>
        <w:spacing w:before="450" w:after="450" w:line="312" w:lineRule="auto"/>
      </w:pPr>
      <w:r>
        <w:rPr>
          <w:rFonts w:ascii="宋体" w:hAnsi="宋体" w:eastAsia="宋体" w:cs="宋体"/>
          <w:color w:val="000"/>
          <w:sz w:val="28"/>
          <w:szCs w:val="28"/>
        </w:rPr>
        <w:t xml:space="preserve">不主张对股指期货征收所得税的学者认为，期权或期货交易均为保证金交易，其交易额是一种虚拟金额，且其交易结果具有零和性的特点，即多空相抵以后结果为零。就整个期货市场而言，多头部位的盈余总是与空头部位的亏损相一致，反之亦然。整个市场的财富总量不变，亏盈数额的划转只是一个存量的调整，完成了一次财富的再分配。整个市场的资金总量是不变的。股指期货交易并不会产生收益，而只是投资者之间的收益发生转移。既然股指期货交易并不能够创造新的价值，而只是交易各方收入的再分配，其税基具有明显的虚拟性，作为非新增的价值并不应当纳入所得课税的范围。既然股指期货交易并不能创造新的社会财富，如果国家对其课税，无疑将使期货市场上的资金(私有财产)以税收的形式转化为国库资本，产生资本课税的后果。既然税收应仅对财产增值额征收，在经济总量保持不变的情况下，如果没有新的价值产出，对股指期货交易似乎并无课税问题。</w:t>
      </w:r>
    </w:p>
    <w:p>
      <w:pPr>
        <w:ind w:left="0" w:right="0" w:firstLine="560"/>
        <w:spacing w:before="450" w:after="450" w:line="312" w:lineRule="auto"/>
      </w:pPr>
      <w:r>
        <w:rPr>
          <w:rFonts w:ascii="宋体" w:hAnsi="宋体" w:eastAsia="宋体" w:cs="宋体"/>
          <w:color w:val="000"/>
          <w:sz w:val="28"/>
          <w:szCs w:val="28"/>
        </w:rPr>
        <w:t xml:space="preserve">对具有零和性，或者说不能自我创造新增社会财富的股指期货交易而言，其交易者所取得的收入是否应当纳入应税所得的范围，实际上正体现了应税所得是否应当为“新增价值”的税法争议。应税所得的概念界定在当前各国所得税法乃至学界研究中均无统一定论，其主要的代表学说为所得源泉说、净资产增加说、市场所得说和消费型所得说。尽管各学说所确定的应税所得的内涵和外延差别巨大，但仅有所得源泉说认为个人所得原为国民所得的一部分，凡经济活动致新的社会生产发生，而有助于总体经济生产提升，才能作为课征对象。除此以外，净资产增加说、市场所得说和消费型所得说均认为应税所得的概念并不应着眼于经济的发展进程，而应根据个人的利用性予以确定，即所得税课征的正当性，不在于整体国民经济的增进，而在于个人对某项财产是否享有处分支配或消费能力，依照量能课税原则是否应当负担纳税义务。根据当前通行的Haig-Simons的应税所得概念，在期间的起止点间所改变的用于消费和投资的市场价值，即应构成应税所得。依此观点，应税所得应为可供使用消费以满足私人欲望的财产，一项所得是否为应税所得，并非从整体经济成果加以判断，无论其是否为社会新增财产或价值，只要构成以个人对财产的使用支配、用于消费与投资的可能，即可认定为构成应税所得。</w:t>
      </w:r>
    </w:p>
    <w:p>
      <w:pPr>
        <w:ind w:left="0" w:right="0" w:firstLine="560"/>
        <w:spacing w:before="450" w:after="450" w:line="312" w:lineRule="auto"/>
      </w:pPr>
      <w:r>
        <w:rPr>
          <w:rFonts w:ascii="宋体" w:hAnsi="宋体" w:eastAsia="宋体" w:cs="宋体"/>
          <w:color w:val="000"/>
          <w:sz w:val="28"/>
          <w:szCs w:val="28"/>
        </w:rPr>
        <w:t xml:space="preserve">我国应税所得的确立并非遵从所得源泉说，而是将评价应税所得的标准置于收人取得对个人消费权利的改变，即税收的课征是以单个主体作为衡量基础的，即以个人取得的收益是否符合应税所得的内涵和外延来判定是否应当承担纳税义务。只要一项所得可能增加可供个人消费的财产，无论其来源如何，是否为社会新增价值并非其关注的重点。从我国当前《个人所得税法》所明确列举的10项所得类型和《企业所得税法》列举的9项所得来看，既包括了作为社会新增价值的工资薪金所得、生产经营所得、劳务报酬所得、稿酬所得等类型，也包括非新增价值而仅是财产重新分配的偶然所得和接受捐赠收入等所得类型。尽管各类所得来源形式各异，但均为经由市场交易而增加个人消费权利的财产增加。因此，股指期货交易收益是否为社会新增价值并不能决定其是否为应税所得，而应当判断交易的发生是否改变纳税人可供支配的财产范围。在现代社会中，市场风险已经成为影响企业正常生产经营活动进而决定其盈利水平的重要因素。作为典型的期货交易形式之一，股指期货交易为企业提供了风险转移的途径，具有为市场主体管理价格风险的经济功能。“期货交易的主要目的是使生产商、交易商和各种商品的处理商可以通过套期保值向投机者转移价格波动的风险”，随着交易发生而转移的风险一旦发生，则必然导致相应的财产分配在交易参与者之间发生相应的变动。就套期保值者而言，参与期货交易支付的保证金和其他费用是为实现风险转移而支付的成本，但同时也能够利用股指期货与现货交易之间的价格差额而获得相应的利润。对投机者而言，由于风险的承担也将获得相应的回报。因此，期货交易的发生，必然在不同程度上改变财产在市场主体之间的配置状况，进而改变其税收负担能力。因此，股指期货交易产生了投入交易中的财产在交易当事人之间的重新配置，可供当事人支配的财产因股指期货交易的发生而改变。对于特定交易者，因股指期货交易获得的价差收入能够满足其新的消费或投资的需要，这将使其可支配的财产范围有所增加，其整体消费能力和投资总额将有所提升，其税收负担能力也将因该经济价值的增长而得以重新评价。因此，股指期货交易收入同样应当纳入应税所得的范围，从而对其课征所得税。</w:t>
      </w:r>
    </w:p>
    <w:p>
      <w:pPr>
        <w:ind w:left="0" w:right="0" w:firstLine="560"/>
        <w:spacing w:before="450" w:after="450" w:line="312" w:lineRule="auto"/>
      </w:pPr>
      <w:r>
        <w:rPr>
          <w:rFonts w:ascii="宋体" w:hAnsi="宋体" w:eastAsia="宋体" w:cs="宋体"/>
          <w:color w:val="000"/>
          <w:sz w:val="28"/>
          <w:szCs w:val="28"/>
        </w:rPr>
        <w:t xml:space="preserve">总结：股指期货所得课税规则的构建就为大家分享到这里了，希望对您撰写文章有帮助，更多精彩论文尽在论文网!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2024-11-22T13:58:24+08:00</dcterms:created>
  <dcterms:modified xsi:type="dcterms:W3CDTF">2024-11-22T13:58:24+08:00</dcterms:modified>
</cp:coreProperties>
</file>

<file path=docProps/custom.xml><?xml version="1.0" encoding="utf-8"?>
<Properties xmlns="http://schemas.openxmlformats.org/officeDocument/2006/custom-properties" xmlns:vt="http://schemas.openxmlformats.org/officeDocument/2006/docPropsVTypes"/>
</file>