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资本利得税在我国证券市场的适用性问题的浅论</w:t>
      </w:r>
      <w:bookmarkEnd w:id="1"/>
    </w:p>
    <w:p>
      <w:pPr>
        <w:jc w:val="center"/>
        <w:spacing w:before="0" w:after="450"/>
      </w:pPr>
      <w:r>
        <w:rPr>
          <w:rFonts w:ascii="Arial" w:hAnsi="Arial" w:eastAsia="Arial" w:cs="Arial"/>
          <w:color w:val="999999"/>
          <w:sz w:val="20"/>
          <w:szCs w:val="20"/>
        </w:rPr>
        <w:t xml:space="preserve">来源：网络  作者：浅语风铃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资本利得税在我国证券市场的适用性问题的浅论 资本利得税在我国证券市场的适用性问题的浅论 资本利得税在我国证券市场的适用性问题的浅论一、资本利得税对比现行税制的优越性分析当我我国证券市场的交易成本主要由两部分组成:一是固定的、双向征收的3.5...</w:t>
      </w:r>
    </w:p>
    <w:p>
      <w:pPr>
        <w:ind w:left="0" w:right="0" w:firstLine="560"/>
        <w:spacing w:before="450" w:after="450" w:line="312" w:lineRule="auto"/>
      </w:pPr>
      <w:r>
        <w:rPr>
          <w:rFonts w:ascii="宋体" w:hAnsi="宋体" w:eastAsia="宋体" w:cs="宋体"/>
          <w:color w:val="000"/>
          <w:sz w:val="28"/>
          <w:szCs w:val="28"/>
        </w:rPr>
        <w:t xml:space="preserve">资本利得税在我国证券市场的适用性问题的浅论 资本利得税在我国证券市场的适用性问题的浅论 资本利得税在我国证券市场的适用性问题的浅论</w:t>
      </w:r>
    </w:p>
    <w:p>
      <w:pPr>
        <w:ind w:left="0" w:right="0" w:firstLine="560"/>
        <w:spacing w:before="450" w:after="450" w:line="312" w:lineRule="auto"/>
      </w:pPr>
      <w:r>
        <w:rPr>
          <w:rFonts w:ascii="宋体" w:hAnsi="宋体" w:eastAsia="宋体" w:cs="宋体"/>
          <w:color w:val="000"/>
          <w:sz w:val="28"/>
          <w:szCs w:val="28"/>
        </w:rPr>
        <w:t xml:space="preserve">一、资本利得税对比现行税制的优越性分析</w:t>
      </w:r>
    </w:p>
    <w:p>
      <w:pPr>
        <w:ind w:left="0" w:right="0" w:firstLine="560"/>
        <w:spacing w:before="450" w:after="450" w:line="312" w:lineRule="auto"/>
      </w:pPr>
      <w:r>
        <w:rPr>
          <w:rFonts w:ascii="宋体" w:hAnsi="宋体" w:eastAsia="宋体" w:cs="宋体"/>
          <w:color w:val="000"/>
          <w:sz w:val="28"/>
          <w:szCs w:val="28"/>
        </w:rPr>
        <w:t xml:space="preserve">当我我国证券市场的交易成本主要由两部分组成:一是固定的、双向征收的3.5‰佣金成本;二是固定的、双向征收的2‰的证券交易印花税。于是,在此种体系下,一笔交易的完成所需费用为5.5‰;与国际上佣金制度和税收政策的变革趋势相比较,我国证券市场交易成本明显偏高。分析现行税制的特点,我们发现主要存在以下几个问题:首先,过高的交易成本损害了投资者对我国证券市场的信心,而如我们所知,证券市场是虚拟资本市场,维护投资者的信心和利益对于这个市场的稳定发展至关重要。其次,高交易成本不利于竞争机制的培育;固定的高佣金制度实际上是对目前尚相当落后的证券行业的保护,不利于我国证券业的行业重组和业务创新,难以实现优胜劣汰。第三,高交易成本阻滞了社会资源的有效配置,加大了我国经济结构调整的成本和难度;这不仅削弱了上市公司的竞争力,影响了现有企业的低成本重组,而且加速了我国资本的外逃。第四,现行税制对交易活动本身征税,而不论该笔交易的盈亏,这种“一刀切”的做法常常会起到拉大目前市场上已经十分悬殊的贫富差距的作用,有悖于税收理论中的量能原则和公平原则。</w:t>
      </w:r>
    </w:p>
    <w:p>
      <w:pPr>
        <w:ind w:left="0" w:right="0" w:firstLine="560"/>
        <w:spacing w:before="450" w:after="450" w:line="312" w:lineRule="auto"/>
      </w:pPr>
      <w:r>
        <w:rPr>
          <w:rFonts w:ascii="宋体" w:hAnsi="宋体" w:eastAsia="宋体" w:cs="宋体"/>
          <w:color w:val="000"/>
          <w:sz w:val="28"/>
          <w:szCs w:val="28"/>
        </w:rPr>
        <w:t xml:space="preserve">与现行税制相比较,资本利得税的优越性是比较明显的。</w:t>
      </w:r>
    </w:p>
    <w:p>
      <w:pPr>
        <w:ind w:left="0" w:right="0" w:firstLine="560"/>
        <w:spacing w:before="450" w:after="450" w:line="312" w:lineRule="auto"/>
      </w:pPr>
      <w:r>
        <w:rPr>
          <w:rFonts w:ascii="宋体" w:hAnsi="宋体" w:eastAsia="宋体" w:cs="宋体"/>
          <w:color w:val="000"/>
          <w:sz w:val="28"/>
          <w:szCs w:val="28"/>
        </w:rPr>
        <w:t xml:space="preserve">所谓资本利得税,简单而言就是对投资者证券买卖所获取的价差收益(资本利得)征税。在西方发达国家的证券市场中,一般不征收或征收极低的印花税,代之以对资本利得征税。在这样的税收体系下,一般能起到“多获利者多交税”的效果,对资本市场的贫富两极分化能起到一定的自发抑制作用。不仅如此,当市场活跃时,由于获利者的绝对数量和获利程度都大大提高,税收收入将随之有一个较大的增幅,从而对正日渐升温的市场起到持续自发“抽血”的作用,有利于市场理性的维持和千衡发展的实现;当市场低迷时,获利者给予数量(通常会)下降,但由于做空机制的存在,市场上仍不乏投机获利者,此时对资本利得进行征税,在客观上起到了抑制空方投机获利空间、减轻(甚至免除)多方税收负担的作用,有利于市场走出低迷、重新振作。简言之,资本利得税体系及其内在的自发调节市场起落的机制有利于市场的稳健发展;当然,西方发达国家证券市场也是经常起伏动荡着的,那是因为决定市场升降趋势的因素为数甚多,而税收对市场的自发调节作用也有其客观上的局限性。另外,资本利得税制度下“多获利者多交税”的具体实施效果比之印花税也更好地体现了税收征管的量能原则和公平原则。</w:t>
      </w:r>
    </w:p>
    <w:p>
      <w:pPr>
        <w:ind w:left="0" w:right="0" w:firstLine="560"/>
        <w:spacing w:before="450" w:after="450" w:line="312" w:lineRule="auto"/>
      </w:pPr>
      <w:r>
        <w:rPr>
          <w:rFonts w:ascii="宋体" w:hAnsi="宋体" w:eastAsia="宋体" w:cs="宋体"/>
          <w:color w:val="000"/>
          <w:sz w:val="28"/>
          <w:szCs w:val="28"/>
        </w:rPr>
        <w:t xml:space="preserve">在我国,以资本利得税代替印花税作为资本市场的主体税种,还具有特别的意义。</w:t>
      </w:r>
    </w:p>
    <w:p>
      <w:pPr>
        <w:ind w:left="0" w:right="0" w:firstLine="560"/>
        <w:spacing w:before="450" w:after="450" w:line="312" w:lineRule="auto"/>
      </w:pPr>
      <w:r>
        <w:rPr>
          <w:rFonts w:ascii="宋体" w:hAnsi="宋体" w:eastAsia="宋体" w:cs="宋体"/>
          <w:color w:val="000"/>
          <w:sz w:val="28"/>
          <w:szCs w:val="28"/>
        </w:rPr>
        <w:t xml:space="preserve">二、我国二级市场推行资本利得税的可行性分析</w:t>
      </w:r>
    </w:p>
    <w:p>
      <w:pPr>
        <w:ind w:left="0" w:right="0" w:firstLine="560"/>
        <w:spacing w:before="450" w:after="450" w:line="312" w:lineRule="auto"/>
      </w:pPr>
      <w:r>
        <w:rPr>
          <w:rFonts w:ascii="宋体" w:hAnsi="宋体" w:eastAsia="宋体" w:cs="宋体"/>
          <w:color w:val="000"/>
          <w:sz w:val="28"/>
          <w:szCs w:val="28"/>
        </w:rPr>
        <w:t xml:space="preserve">尽管单就理论分析,以资本利得税替代印花税作为我国证券市场(二级市场)的主体税种具有必然性,但就目前客观情况看,笔者认为立即推行这一税收体系的替代时机尚未成熟。过去数年中,证券市场对开征资本利得税时有议论,但最后都未能实施,202_年11月间,为扭转股市连续数月的低迷态势,财政部还调低了证券交易印花税税率,而资本利得税的推行则仍被排除在政府的决策选择之外,足见政府对开征此税的谨慎。就客观情况看,目前在二级市场推行这一税种存在如下困难;</w:t>
      </w:r>
    </w:p>
    <w:p>
      <w:pPr>
        <w:ind w:left="0" w:right="0" w:firstLine="560"/>
        <w:spacing w:before="450" w:after="450" w:line="312" w:lineRule="auto"/>
      </w:pPr>
      <w:r>
        <w:rPr>
          <w:rFonts w:ascii="宋体" w:hAnsi="宋体" w:eastAsia="宋体" w:cs="宋体"/>
          <w:color w:val="000"/>
          <w:sz w:val="28"/>
          <w:szCs w:val="28"/>
        </w:rPr>
        <w:t xml:space="preserve">1.技术方面的困难,也即“利润确定”的困难性。是按当笔交易课征或是按当月累计交易所得课征?如果出现当期亏损是否可以抵扣?又如何进行抵扣?如此等等,都需要有具体的规定。同时,开征此税需要有先进的税务电子化系统和科学的稽查技术,才能对利润进行及时准确的确定,而目前我国显然还不完全具备这样的科学技术条件。</w:t>
      </w:r>
    </w:p>
    <w:p>
      <w:pPr>
        <w:ind w:left="0" w:right="0" w:firstLine="560"/>
        <w:spacing w:before="450" w:after="450" w:line="312" w:lineRule="auto"/>
      </w:pPr>
      <w:r>
        <w:rPr>
          <w:rFonts w:ascii="宋体" w:hAnsi="宋体" w:eastAsia="宋体" w:cs="宋体"/>
          <w:color w:val="000"/>
          <w:sz w:val="28"/>
          <w:szCs w:val="28"/>
        </w:rPr>
        <w:t xml:space="preserve">2.就监管方面要求看,显然对利得征税有其合理性,但因为利得税远较交易印花税复杂,核算利得困难而且操作可行性差,因此推行开来会对证券市场产生不利影响;从世界范围来看,凡是征收交易所得税的国家,均对交易的损失补偿作了相应的规定,使得交易所得税是在净所得的基础上进行征收,而这一环节的完善不但需要技术上的配套,同时还需要监管体系的更加完善,以防止投资者通过资产的转移以规避交易所得税。从目前的情况来看,我国的监管机构要想做到这一步,短期内是有一定难度的。</w:t>
      </w:r>
    </w:p>
    <w:p>
      <w:pPr>
        <w:ind w:left="0" w:right="0" w:firstLine="560"/>
        <w:spacing w:before="450" w:after="450" w:line="312" w:lineRule="auto"/>
      </w:pPr>
      <w:r>
        <w:rPr>
          <w:rFonts w:ascii="宋体" w:hAnsi="宋体" w:eastAsia="宋体" w:cs="宋体"/>
          <w:color w:val="000"/>
          <w:sz w:val="28"/>
          <w:szCs w:val="28"/>
        </w:rPr>
        <w:t xml:space="preserve">3.开征资本利得税必须充分估计到其对证券市场的冲击力。我国曾于1994年底盛传将开征证券交易税和股票转让所得税,引起轩然大波,股指巨幅震荡。而同期台湾证券市场也因拟开征资本利得税而造成股指大幅滑落,以至于台湾证券管理当局不得不宣布无限期搁置对资本利得税的课征。因此在国内设立资本利得税应持相当谨慎的态度,特别是在目前印花税率本已较高的情况下,设立该税种可能会使投资者产生增税的印象,从而引发市场大幅振荡。</w:t>
      </w:r>
    </w:p>
    <w:p>
      <w:pPr>
        <w:ind w:left="0" w:right="0" w:firstLine="560"/>
        <w:spacing w:before="450" w:after="450" w:line="312" w:lineRule="auto"/>
      </w:pPr>
      <w:r>
        <w:rPr>
          <w:rFonts w:ascii="宋体" w:hAnsi="宋体" w:eastAsia="宋体" w:cs="宋体"/>
          <w:color w:val="000"/>
          <w:sz w:val="28"/>
          <w:szCs w:val="28"/>
        </w:rPr>
        <w:t xml:space="preserve">4.开征资本利得税需要证券交易税制整体调整的配合。从全球税收制度与全球证券市场税收体系的变革上看,资本利得税只是税收制度的一个环节,其核心功效仅在于重新调整证券投资收益,若只开征此税也无法作到拓展税基、降低税负的效果,还需要有行为税等其他税种的配合,而我国在短期内大幅度调整税制的困难较大。最后,即使开征资本利得税,也宜采取轻税、判别税率原则。如美国税法规定,纳税人允许以证券投资利得弥补其纳税年度的经营亏损,未冲减的损失可以在限期结转至以后年度冲减;在日本,除被视为营业交易或营业分配的证券利得外,对出售证券的资本利得采取免税的政策,其课税的范围主要集中于大额与频繁交易的投资者。同时,各国对资本利得税一般采取差别税率,如法国以2年为界限区分长短期证券,长期证券交易的资本利得税只是短期证券交易资本利得税的60%。这种差别化的的资本利得税制对投资者形成长期投资理念有重要推动作用。而在我国,利润的确定尚存在相当大的技术性困难,要在这基础上实行差别税率,则尚需要在市场的基础设施建设和税收征管的现代化方面进行一段较长时期的努力。</w:t>
      </w:r>
    </w:p>
    <w:p>
      <w:pPr>
        <w:ind w:left="0" w:right="0" w:firstLine="560"/>
        <w:spacing w:before="450" w:after="450" w:line="312" w:lineRule="auto"/>
      </w:pPr>
      <w:r>
        <w:rPr>
          <w:rFonts w:ascii="宋体" w:hAnsi="宋体" w:eastAsia="宋体" w:cs="宋体"/>
          <w:color w:val="000"/>
          <w:sz w:val="28"/>
          <w:szCs w:val="28"/>
        </w:rPr>
        <w:t xml:space="preserve">通过以上分析可见,我国证券二级市场目前尚不具备开征资本利得税的基础。尽管从长远看,随着证券市场结构逐步完善、投资行为日趋理性化,税收征管水平的提高,资本利得税将成为大势所趋,但就目前状况看,对现行税制进行基础不变的合理性修补可能是更切实际的做法,具体而言,即指在仍以流转税为税收体系主体的前提下,贯彻“既拓展税基、又实现差别税率”的原则,从拓展税基的角度出发,证券交易税种不再实质性地限定在流通股的转让方面,对新股发行、法人股与国有股的转让、债券交易、投资基金的交易,以及其它非交易过户均适度课征印花税或交易税;这既可实现税负公平,也可推动各种交易品种的均衡发展;从差别税率上看,目前固定划一的证券交易印花税不足以实现对证券投资收益的调节,因此,在税收稽征手段许可的情况下,根据交易频率、成效额度、投资收益等多个方面实现差别税率,以在一定程度上保护中小投资者的利益,并且不再出现亏损投资者与盈利投资者按同等税率承担税负的状况,从而真正实现税收制度的公平原则。总之,尽管资本利得税的前面推行时机尚未成熟,但我国证券市场税收制度的改革仍大有可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2024-11-25T13:08:14+08:00</dcterms:created>
  <dcterms:modified xsi:type="dcterms:W3CDTF">2024-11-25T13:08:14+08:00</dcterms:modified>
</cp:coreProperties>
</file>

<file path=docProps/custom.xml><?xml version="1.0" encoding="utf-8"?>
<Properties xmlns="http://schemas.openxmlformats.org/officeDocument/2006/custom-properties" xmlns:vt="http://schemas.openxmlformats.org/officeDocument/2006/docPropsVTypes"/>
</file>