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营利性医院的税费政策研究</w:t>
      </w:r>
      <w:bookmarkEnd w:id="1"/>
    </w:p>
    <w:p>
      <w:pPr>
        <w:jc w:val="center"/>
        <w:spacing w:before="0" w:after="450"/>
      </w:pPr>
      <w:r>
        <w:rPr>
          <w:rFonts w:ascii="Arial" w:hAnsi="Arial" w:eastAsia="Arial" w:cs="Arial"/>
          <w:color w:val="999999"/>
          <w:sz w:val="20"/>
          <w:szCs w:val="20"/>
        </w:rPr>
        <w:t xml:space="preserve">来源：网络  作者：尘埃落定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营利性医院的税费政策研究 营利性医院的税费政策研究 营利性医院的税费政策研究 关键词:逃税;地下经济;现金比率法;相关系数一、引 言逃税(tax evasion)是指纳税人通过非法途径减少其应纳税额的经济活动。大规模地逃税不但会影响一国政府...</w:t>
      </w:r>
    </w:p>
    <w:p>
      <w:pPr>
        <w:ind w:left="0" w:right="0" w:firstLine="560"/>
        <w:spacing w:before="450" w:after="450" w:line="312" w:lineRule="auto"/>
      </w:pPr>
      <w:r>
        <w:rPr>
          <w:rFonts w:ascii="宋体" w:hAnsi="宋体" w:eastAsia="宋体" w:cs="宋体"/>
          <w:color w:val="000"/>
          <w:sz w:val="28"/>
          <w:szCs w:val="28"/>
        </w:rPr>
        <w:t xml:space="preserve">营利性医院的税费政策研究 营利性医院的税费政策研究 营利性医院的税费政策研究 关键词:逃税;地下经济;现金比率法;相关系数</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逃税(tax evasion)是指纳税人通过非法途径减少其应纳税额的经济活动。大规模地逃税不但会影响一国政府的财政收入,而且还会造成社会资源配置的扭曲以及收入分配的失控,给一国社会经济带来严重影响。</w:t>
      </w:r>
    </w:p>
    <w:p>
      <w:pPr>
        <w:ind w:left="0" w:right="0" w:firstLine="560"/>
        <w:spacing w:before="450" w:after="450" w:line="312" w:lineRule="auto"/>
      </w:pPr>
      <w:r>
        <w:rPr>
          <w:rFonts w:ascii="宋体" w:hAnsi="宋体" w:eastAsia="宋体" w:cs="宋体"/>
          <w:color w:val="000"/>
          <w:sz w:val="28"/>
          <w:szCs w:val="28"/>
        </w:rPr>
        <w:t xml:space="preserve">准确地把握逃税规模是对逃税问题进行研究和治理的基础,逃税规模的测算是对逃税问题进行分析的必要前提。早在1980年Tanzi首先使用货币需求法对地下经济的规模进行了测算,随后各种货币需求法被广泛运用于美、日、西欧等国地下经济的研究当中,1sachsen(19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5)和Schneider(19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6)使用货币需求法对OECD国家的地下经济规模进行了估计,Lacko和Maria(19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9)运用实际投入法对OECD国家的地下经济规模进行了估计。 以上的测算大部分都是关于地下经济规模的测算,即使有对逃税规模进行测算的,也大多只局限于地下经济导致的逃税规模的测算,而很少涉及到地上经济中的逃税部分,但事实上地上经济中存在的逃税规模巨大,不可忽略。本文在测算我国1985—202_年期间逃税总规模(包括地下经济与地上经济中的逃税规模)的基础上,从逃税对GDP的影响、逃税的资源配置效应和收入分配效应三个方面着重分析了我国逃税对社会经济的影响,并在此基础上提出了我国治理逃税的政策建议。</w:t>
      </w:r>
    </w:p>
    <w:p>
      <w:pPr>
        <w:ind w:left="0" w:right="0" w:firstLine="560"/>
        <w:spacing w:before="450" w:after="450" w:line="312" w:lineRule="auto"/>
      </w:pPr>
      <w:r>
        <w:rPr>
          <w:rFonts w:ascii="宋体" w:hAnsi="宋体" w:eastAsia="宋体" w:cs="宋体"/>
          <w:color w:val="000"/>
          <w:sz w:val="28"/>
          <w:szCs w:val="28"/>
        </w:rPr>
        <w:t xml:space="preserve">二、逃税规模的测量</w:t>
      </w:r>
    </w:p>
    <w:p>
      <w:pPr>
        <w:ind w:left="0" w:right="0" w:firstLine="560"/>
        <w:spacing w:before="450" w:after="450" w:line="312" w:lineRule="auto"/>
      </w:pPr>
      <w:r>
        <w:rPr>
          <w:rFonts w:ascii="宋体" w:hAnsi="宋体" w:eastAsia="宋体" w:cs="宋体"/>
          <w:color w:val="000"/>
          <w:sz w:val="28"/>
          <w:szCs w:val="28"/>
        </w:rPr>
        <w:t xml:space="preserve">由于外国各学者乃至国内大多数学者所采用的方法与引用资料的口径等尚不统一,从而导致对我国逃税规模测算的结果差距较大。因此,采用国际公认的测算方法和国家公布的统计数据对我国的逃税规模进行测算是取得比较可信结果的重要前提。</w:t>
      </w:r>
    </w:p>
    <w:p>
      <w:pPr>
        <w:ind w:left="0" w:right="0" w:firstLine="560"/>
        <w:spacing w:before="450" w:after="450" w:line="312" w:lineRule="auto"/>
      </w:pPr>
      <w:r>
        <w:rPr>
          <w:rFonts w:ascii="宋体" w:hAnsi="宋体" w:eastAsia="宋体" w:cs="宋体"/>
          <w:color w:val="000"/>
          <w:sz w:val="28"/>
          <w:szCs w:val="28"/>
        </w:rPr>
        <w:t xml:space="preserve">本文对我国逃税规模进行了重新测算,测算分成两个部分,一是对地下经济导致的逃税规模进行测算,主要采用现金比率法;二是对地上经济存在的逃税规模进行测算,主要是将其分成国内非农部门的逃税、关税逃税以及个人所得税逃税三个方面,通过对这三方面进行加总得出地上经济逃税规模。地上经济逃税规模和地下经济逃税规模的总和即为我国逃税的总体规模。</w:t>
      </w:r>
    </w:p>
    <w:p>
      <w:pPr>
        <w:ind w:left="0" w:right="0" w:firstLine="560"/>
        <w:spacing w:before="450" w:after="450" w:line="312" w:lineRule="auto"/>
      </w:pPr>
      <w:r>
        <w:rPr>
          <w:rFonts w:ascii="宋体" w:hAnsi="宋体" w:eastAsia="宋体" w:cs="宋体"/>
          <w:color w:val="000"/>
          <w:sz w:val="28"/>
          <w:szCs w:val="28"/>
        </w:rPr>
        <w:t xml:space="preserve">1.地下经济导致的逃税规模的测算</w:t>
      </w:r>
    </w:p>
    <w:p>
      <w:pPr>
        <w:ind w:left="0" w:right="0" w:firstLine="560"/>
        <w:spacing w:before="450" w:after="450" w:line="312" w:lineRule="auto"/>
      </w:pPr>
      <w:r>
        <w:rPr>
          <w:rFonts w:ascii="宋体" w:hAnsi="宋体" w:eastAsia="宋体" w:cs="宋体"/>
          <w:color w:val="000"/>
          <w:sz w:val="28"/>
          <w:szCs w:val="28"/>
        </w:rPr>
        <w:t xml:space="preserve">摘要:通过对温州市公立医院和民营医院经济运营现状的抽样调查,从现行政策范围内,对当前制约民营医院发展的税费问题展开讨论,并对完善税费政策,鼓励民营医院的进一步发展提出了建议。</w:t>
      </w:r>
    </w:p>
    <w:p>
      <w:pPr>
        <w:ind w:left="0" w:right="0" w:firstLine="560"/>
        <w:spacing w:before="450" w:after="450" w:line="312" w:lineRule="auto"/>
      </w:pPr>
      <w:r>
        <w:rPr>
          <w:rFonts w:ascii="宋体" w:hAnsi="宋体" w:eastAsia="宋体" w:cs="宋体"/>
          <w:color w:val="000"/>
          <w:sz w:val="28"/>
          <w:szCs w:val="28"/>
        </w:rPr>
        <w:t xml:space="preserve">国务院八部委出台的《关于城镇医药卫生体制改革的指导意见》(简称《意见》)明确提出:卫生改革的根本目标是要打破公立医院的一统天下,在各个环节建立起公平、有序、适度的市场竞争机制,发挥医疗机构本身主动利用政策和市场合理配置资源,少花钱、多办事,用比较低廉的费用,使人民群众得到比较优质的服务。但是,纵观《意见》出台4年来的现状,卫生改革不尽如人意,突出反映在:公立医院改制举步维艰;民营医院发展困难重重,公立医院一统天下的格局基本未被打破,有悖卫生改革的初衷。</w:t>
      </w:r>
    </w:p>
    <w:p>
      <w:pPr>
        <w:ind w:left="0" w:right="0" w:firstLine="560"/>
        <w:spacing w:before="450" w:after="450" w:line="312" w:lineRule="auto"/>
      </w:pPr>
      <w:r>
        <w:rPr>
          <w:rFonts w:ascii="宋体" w:hAnsi="宋体" w:eastAsia="宋体" w:cs="宋体"/>
          <w:color w:val="000"/>
          <w:sz w:val="28"/>
          <w:szCs w:val="28"/>
        </w:rPr>
        <w:t xml:space="preserve">造成目前状况的因素虽然较多,但主要是政府对营利性医院现行的税费政策成了阻碍深化卫生改革的瓶颈。据此,温州市卫生经济学会开展了专题研究。现将结果报告如下:</w:t>
      </w:r>
    </w:p>
    <w:p>
      <w:pPr>
        <w:ind w:left="0" w:right="0" w:firstLine="560"/>
        <w:spacing w:before="450" w:after="450" w:line="312" w:lineRule="auto"/>
      </w:pPr>
      <w:r>
        <w:rPr>
          <w:rFonts w:ascii="宋体" w:hAnsi="宋体" w:eastAsia="宋体" w:cs="宋体"/>
          <w:color w:val="000"/>
          <w:sz w:val="28"/>
          <w:szCs w:val="28"/>
        </w:rPr>
        <w:t xml:space="preserve">一、资料和方法</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温州市95%的民营医院均创建于20世纪90年代,在实行医院分类管理中,均被定为营利性医院。由于多系个人或合伙投资,因此,普遍起点低,规模小,虽经近10年的艰苦创业,但目前在服务功能、技术力量、设备条件等综合实力方面,与公立医院相比均存在明显差距。</w:t>
      </w:r>
    </w:p>
    <w:p>
      <w:pPr>
        <w:ind w:left="0" w:right="0" w:firstLine="560"/>
        <w:spacing w:before="450" w:after="450" w:line="312" w:lineRule="auto"/>
      </w:pPr>
      <w:r>
        <w:rPr>
          <w:rFonts w:ascii="宋体" w:hAnsi="宋体" w:eastAsia="宋体" w:cs="宋体"/>
          <w:color w:val="000"/>
          <w:sz w:val="28"/>
          <w:szCs w:val="28"/>
        </w:rPr>
        <w:t xml:space="preserve">(2)病床规模。调查显示,公立综合医院的病床规模平均为436张,相当于民营综合医院平均49床的8.9倍,公立专科医院的病床规模平均为287张,相当于民营专科医院平均122张的2.4倍;特别是5所公立医院普遍建立了由市级重点学科、市级重点专科、院级特色专科和基础学科组成的分支学科体系,服务功能齐全,具有对各类社会群体提供全方位服务的能力。而7所民营医院普遍未形成比较完整的学科体系,服务范围局限性较大。 2.业务工作 3.收费标准比较</w:t>
      </w:r>
    </w:p>
    <w:p>
      <w:pPr>
        <w:ind w:left="0" w:right="0" w:firstLine="560"/>
        <w:spacing w:before="450" w:after="450" w:line="312" w:lineRule="auto"/>
      </w:pPr>
      <w:r>
        <w:rPr>
          <w:rFonts w:ascii="宋体" w:hAnsi="宋体" w:eastAsia="宋体" w:cs="宋体"/>
          <w:color w:val="000"/>
          <w:sz w:val="28"/>
          <w:szCs w:val="28"/>
        </w:rPr>
        <w:t xml:space="preserve">“收费价格放开”是医院分类管理政策给予营利性医院的唯一比较明确的优惠措施。但是调查显示,由于社会公众已习惯于将医院视作“社会福利性公益事业”,包括政府有关职能部门的观念也仍未转变,营利性医院实行“价格放开”不仅难脱“乱收费”的嫌疑,而且无疑是主动脱离市场的“自杀”行为。因此,目前被定为营利性的民营医院,不仅尚无一家敢于实行“价格放开”,而且为了与公立医院争夺市场,绝大部分采用降低收费标准来吸引患者。其中每门诊人次费、住院病人床日费用、出院者人均住院费及高血压脑梗塞等单病种费用,民营医院都低于公立医院。</w:t>
      </w:r>
    </w:p>
    <w:p>
      <w:pPr>
        <w:ind w:left="0" w:right="0" w:firstLine="560"/>
        <w:spacing w:before="450" w:after="450" w:line="312" w:lineRule="auto"/>
      </w:pPr>
      <w:r>
        <w:rPr>
          <w:rFonts w:ascii="宋体" w:hAnsi="宋体" w:eastAsia="宋体" w:cs="宋体"/>
          <w:color w:val="000"/>
          <w:sz w:val="28"/>
          <w:szCs w:val="28"/>
        </w:rPr>
        <w:t xml:space="preserve">4.公立医院不包括财政补贴)</w:t>
      </w:r>
    </w:p>
    <w:p>
      <w:pPr>
        <w:ind w:left="0" w:right="0" w:firstLine="560"/>
        <w:spacing w:before="450" w:after="450" w:line="312" w:lineRule="auto"/>
      </w:pPr>
      <w:r>
        <w:rPr>
          <w:rFonts w:ascii="宋体" w:hAnsi="宋体" w:eastAsia="宋体" w:cs="宋体"/>
          <w:color w:val="000"/>
          <w:sz w:val="28"/>
          <w:szCs w:val="28"/>
        </w:rPr>
        <w:t xml:space="preserve">调查显示,目前医院的经济状况公立医院明显好于民营医院,综合医院又好于专科医院。 在医院经济支出方面,尽管民营医院普遍采取精简机构、精简人员等积极措施,努力降低运营成本,但年支出占年收入的比例仍高于公立医院,最根本的原因是:</w:t>
      </w:r>
    </w:p>
    <w:p>
      <w:pPr>
        <w:ind w:left="0" w:right="0" w:firstLine="560"/>
        <w:spacing w:before="450" w:after="450" w:line="312" w:lineRule="auto"/>
      </w:pPr>
      <w:r>
        <w:rPr>
          <w:rFonts w:ascii="宋体" w:hAnsi="宋体" w:eastAsia="宋体" w:cs="宋体"/>
          <w:color w:val="000"/>
          <w:sz w:val="28"/>
          <w:szCs w:val="28"/>
        </w:rPr>
        <w:t xml:space="preserve">(1)已经实行的职工平均月工资超960元需缴纳33%的企业所得税,约占民营医院总收入的2.51%~7.71%,平均为4.75%;</w:t>
      </w:r>
    </w:p>
    <w:p>
      <w:pPr>
        <w:ind w:left="0" w:right="0" w:firstLine="560"/>
        <w:spacing w:before="450" w:after="450" w:line="312" w:lineRule="auto"/>
      </w:pPr>
      <w:r>
        <w:rPr>
          <w:rFonts w:ascii="宋体" w:hAnsi="宋体" w:eastAsia="宋体" w:cs="宋体"/>
          <w:color w:val="000"/>
          <w:sz w:val="28"/>
          <w:szCs w:val="28"/>
        </w:rPr>
        <w:t xml:space="preserve">(2)规避医疗风险的“医疗责任保险”费用和医疗广告费,约占民营医院年收入的6%~10%;</w:t>
      </w:r>
    </w:p>
    <w:p>
      <w:pPr>
        <w:ind w:left="0" w:right="0" w:firstLine="560"/>
        <w:spacing w:before="450" w:after="450" w:line="312" w:lineRule="auto"/>
      </w:pPr>
      <w:r>
        <w:rPr>
          <w:rFonts w:ascii="宋体" w:hAnsi="宋体" w:eastAsia="宋体" w:cs="宋体"/>
          <w:color w:val="000"/>
          <w:sz w:val="28"/>
          <w:szCs w:val="28"/>
        </w:rPr>
        <w:t xml:space="preserve">(3)民营医院担负的各类社会公益义务的支出约占年收入的1%以上,其中康宁医院的年支出达56.12万元,占年收入的3.76%.公立医院的公益性服务支出已从财政补贴中得到补偿,民营医院却至今得不到应有的补偿。</w:t>
      </w:r>
    </w:p>
    <w:p>
      <w:pPr>
        <w:ind w:left="0" w:right="0" w:firstLine="560"/>
        <w:spacing w:before="450" w:after="450" w:line="312" w:lineRule="auto"/>
      </w:pPr>
      <w:r>
        <w:rPr>
          <w:rFonts w:ascii="宋体" w:hAnsi="宋体" w:eastAsia="宋体" w:cs="宋体"/>
          <w:color w:val="000"/>
          <w:sz w:val="28"/>
          <w:szCs w:val="28"/>
        </w:rPr>
        <w:t xml:space="preserve">在医院税前结余方面,公立综合医院超过民营医院近44倍,公立专科医院超过民营专科医院36倍以上。</w:t>
      </w:r>
    </w:p>
    <w:p>
      <w:pPr>
        <w:ind w:left="0" w:right="0" w:firstLine="560"/>
        <w:spacing w:before="450" w:after="450" w:line="312" w:lineRule="auto"/>
      </w:pPr>
      <w:r>
        <w:rPr>
          <w:rFonts w:ascii="宋体" w:hAnsi="宋体" w:eastAsia="宋体" w:cs="宋体"/>
          <w:color w:val="000"/>
          <w:sz w:val="28"/>
          <w:szCs w:val="28"/>
        </w:rPr>
        <w:t xml:space="preserve">5.医院税费负担预测</w:t>
      </w:r>
    </w:p>
    <w:p>
      <w:pPr>
        <w:ind w:left="0" w:right="0" w:firstLine="560"/>
        <w:spacing w:before="450" w:after="450" w:line="312" w:lineRule="auto"/>
      </w:pPr>
      <w:r>
        <w:rPr>
          <w:rFonts w:ascii="宋体" w:hAnsi="宋体" w:eastAsia="宋体" w:cs="宋体"/>
          <w:color w:val="000"/>
          <w:sz w:val="28"/>
          <w:szCs w:val="28"/>
        </w:rPr>
        <w:t xml:space="preserve">由于目前国家相关税法中尚无有关医疗机构税费的专项规定,营利性医院免税期满后,税务部门将比照服务性企业向营利性医院征税。由此,营利性医院将面对营业税、城市维护建设税、教育费附加、义务兵优抚费、水利水电建设基金、地方养老基金、超960元工资部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2025-04-03T14:22:01+08:00</dcterms:created>
  <dcterms:modified xsi:type="dcterms:W3CDTF">2025-04-03T14:22:01+08:00</dcterms:modified>
</cp:coreProperties>
</file>

<file path=docProps/custom.xml><?xml version="1.0" encoding="utf-8"?>
<Properties xmlns="http://schemas.openxmlformats.org/officeDocument/2006/custom-properties" xmlns:vt="http://schemas.openxmlformats.org/officeDocument/2006/docPropsVTypes"/>
</file>