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全面考察分析马克思和凯恩斯的宏观经济理论，在比较批判中坚持和发展马克思的宏观经济理论，对中国经济运行和发展有着重要的现实意义。 一、马克思的宏观经济理论马克思以劳动价值论、剩余劳动价值理论为基础，创建了完整的社会总资本再生产和流通学说，确...</w:t>
      </w:r>
    </w:p>
    <w:p>
      <w:pPr>
        <w:ind w:left="0" w:right="0" w:firstLine="560"/>
        <w:spacing w:before="450" w:after="450" w:line="312" w:lineRule="auto"/>
      </w:pPr>
      <w:r>
        <w:rPr>
          <w:rFonts w:ascii="宋体" w:hAnsi="宋体" w:eastAsia="宋体" w:cs="宋体"/>
          <w:color w:val="000"/>
          <w:sz w:val="28"/>
          <w:szCs w:val="28"/>
        </w:rPr>
        <w:t xml:space="preserve">全面考察分析马克思和凯恩斯的宏观经济理论，在比较批判中坚持和发展马克思的宏观经济理论，对中国经济运行和发展有着重要的现实意义。</w:t>
      </w:r>
    </w:p>
    <w:p>
      <w:pPr>
        <w:ind w:left="0" w:right="0" w:firstLine="560"/>
        <w:spacing w:before="450" w:after="450" w:line="312" w:lineRule="auto"/>
      </w:pPr>
      <w:r>
        <w:rPr>
          <w:rFonts w:ascii="宋体" w:hAnsi="宋体" w:eastAsia="宋体" w:cs="宋体"/>
          <w:color w:val="000"/>
          <w:sz w:val="28"/>
          <w:szCs w:val="28"/>
        </w:rPr>
        <w:t xml:space="preserve">一、马克思的宏观经济理论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(1) 国民收入必须全部转化为投资支出和消费支出;(2) 储蓄能够全部转化为投资;(3)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2024-11-22T03:27:56+08:00</dcterms:created>
  <dcterms:modified xsi:type="dcterms:W3CDTF">2024-11-22T03:27:56+08:00</dcterms:modified>
</cp:coreProperties>
</file>

<file path=docProps/custom.xml><?xml version="1.0" encoding="utf-8"?>
<Properties xmlns="http://schemas.openxmlformats.org/officeDocument/2006/custom-properties" xmlns:vt="http://schemas.openxmlformats.org/officeDocument/2006/docPropsVTypes"/>
</file>