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国际经济与贸易专业应用型人才多层次培养模式探讨</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国际经济与贸易专业应用型人才多层次培养模式探讨 一、国际...</w:t>
      </w:r>
    </w:p>
    <w:p>
      <w:pPr>
        <w:ind w:left="0" w:right="0" w:firstLine="560"/>
        <w:spacing w:before="450" w:after="450" w:line="312" w:lineRule="auto"/>
      </w:pPr>
      <w:r>
        <w:rPr>
          <w:rFonts w:ascii="宋体" w:hAnsi="宋体" w:eastAsia="宋体" w:cs="宋体"/>
          <w:color w:val="000"/>
          <w:sz w:val="28"/>
          <w:szCs w:val="28"/>
        </w:rPr>
        <w:t xml:space="preserve">国际经济与贸易专业应用型本科人才出现了需求迅速膨胀、供给不足、就业困难的窘状，原因在于人才培养模式不适应人才培养需要。论文网为您编辑了“国际经济与贸易专业应用型人才多层次培养模式探讨”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_）。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_）。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_）：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w:t>
      </w:r>
    </w:p>
    <w:p>
      <w:pPr>
        <w:ind w:left="0" w:right="0" w:firstLine="560"/>
        <w:spacing w:before="450" w:after="450" w:line="312" w:lineRule="auto"/>
      </w:pPr>
      <w:r>
        <w:rPr>
          <w:rFonts w:ascii="宋体" w:hAnsi="宋体" w:eastAsia="宋体" w:cs="宋体"/>
          <w:color w:val="000"/>
          <w:sz w:val="28"/>
          <w:szCs w:val="28"/>
        </w:rPr>
        <w:t xml:space="preserve">多层次人才培养模式，提高人才培养质量和适应能力，最终将提高教育竞争力。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2024-11-22T18:54:36+08:00</dcterms:created>
  <dcterms:modified xsi:type="dcterms:W3CDTF">2024-11-22T18:54:36+08:00</dcterms:modified>
</cp:coreProperties>
</file>

<file path=docProps/custom.xml><?xml version="1.0" encoding="utf-8"?>
<Properties xmlns="http://schemas.openxmlformats.org/officeDocument/2006/custom-properties" xmlns:vt="http://schemas.openxmlformats.org/officeDocument/2006/docPropsVTypes"/>
</file>