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论中国税权的划分问题</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论中国税权的划分问题 论中国税权的划分问题论中国税权的划分问题1. 税权划分的类别及决定因素1.1税权划分的类别税权划分指的是税权在有关国家部门之间的分割和配置。包括税权的横向划分与纵向划分两部分。就税权的横向划分和纵向划分之间的关系来看,...</w:t>
      </w:r>
    </w:p>
    <w:p>
      <w:pPr>
        <w:ind w:left="0" w:right="0" w:firstLine="560"/>
        <w:spacing w:before="450" w:after="450" w:line="312" w:lineRule="auto"/>
      </w:pPr>
      <w:r>
        <w:rPr>
          <w:rFonts w:ascii="宋体" w:hAnsi="宋体" w:eastAsia="宋体" w:cs="宋体"/>
          <w:color w:val="000"/>
          <w:sz w:val="28"/>
          <w:szCs w:val="28"/>
        </w:rPr>
        <w:t xml:space="preserve">论中国税权的划分问题 论中国税权的划分问题论中国税权的划分问题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_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