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2024微课培训心得体会总结范文精选4篇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篇4</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