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2024年申请转正个人自我鉴定 转正个人自我鉴定(3篇)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申请转正个人自我鉴定 转正个人自我鉴定一积极参加学校组织的各项政治活动，认真对待每次的政治学习，并且认真执行学校的各项规章制度。团结同志，做到爱校如家，爱生如子。全心全意搞好教学，管教管导，言传身教，教书育人。教学思想端正，工作态度好。从各...</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转正个人自我鉴定一</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中物理和信息技术教学工作，班级人数众多，教学中，在积极参加教育局组织的新教材培训的同时，虚心向有经验的教师及兄弟学校的同行讨教经验。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转正个人自我鉴定二</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申请转正个人自我鉴定 转正个人自我鉴定三</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