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2024年预备党员入党转正申请书范文1</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的事业、为****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员，不仅要做一个解放思想、实事求是的先锋，更重要的是要在不断改造客观世界的同时，努力改造自己的主观世界，树立****远大理想，做一个彻底的唯物论者和无神论者。为了达到一个***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以上汇报，不足之处，恳请批评指正 .</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