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时代的步伐。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章程》要求自己，并一定做到。假如我不能走进党组织的大门，决不气馁。我再加努力，争取早日加进党组织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