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2024最新队伍教育整顿个人心得体会(精选3篇)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队伍教育整顿个...</w:t>
      </w:r>
    </w:p>
    <w:p>
      <w:pPr>
        <w:ind w:left="0" w:right="0" w:firstLine="560"/>
        <w:spacing w:before="450" w:after="450" w:line="312" w:lineRule="auto"/>
      </w:pPr>
      <w:r>
        <w:rPr>
          <w:rFonts w:ascii="宋体" w:hAnsi="宋体" w:eastAsia="宋体" w:cs="宋体"/>
          <w:color w:val="000"/>
          <w:sz w:val="28"/>
          <w:szCs w:val="28"/>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队伍教育整顿个人心得体会一</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队伍教育整顿个人心得体会二</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队伍教育整顿个人心得体会三</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 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