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2024年书法室工作计划最新内容(七篇)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练习，以弥补学员因时...</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