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健康档案管理工作计划(六篇)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健康档案管理工作计划健康档案规范化管理一1、到20xx年底，辖区基本建立统一、科学、规范的居民健康档案，实现居民健康档案管理信息化。以健康档案为载体，为城乡居民提供联系、综合、适宜、经济的基本医疗卫生服务。2、20xx年底全乡居民规范建档率...</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健康档案管理工作计划健康档案规范化管理一</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凤凰中心卫生院高峰卫生院</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健康档案管理工作计划健康档案规范化管理二</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_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健康档案管理工作计划健康档案规范化管理三</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1.完成辖区常住居民健康档案的建立和电脑信息录入。以妇女、儿童、60岁以上老年人、慢性病人、残疾人、精神病人为重点人群，逐步扩展到一般人群。建立统一、科学和 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2.使健康档案及电子健康档案建档率达到70%以上，健康档案合格率达到100%以上。健康档案使用率达到60%以上。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组织领导：成立健康档案工作领导小组，全面负责居民健康档案建立工作的组织、实施、协调工作。领导小组定期检查如有不能达到规定的数量将列入年底绩效考核中。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(2)坚持循序渐进，从重点人群起步，逐步扩展到一般人群；（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健康档案管理工作计划健康档案规范化管理四</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xx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健康档案管理工作计划健康档案规范化管理五</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健康档案管理工作计划健康档案规范化管理六</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1、建立统一、科学、规范的居民健康档案，实现居民健康档案信息化管理100%。以健康档案为载体，为全体居民提供连续、综合、适宜、经济的基本医疗卫生服务。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3、年内65岁以上老年人群，高血压、糖尿病等慢性病人群规范建档率达100%。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1、完善纸质与电子化健康档案内容：健康档案的基本内容应主要包含个人基本信息和主要卫生服务记录两部分。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2、完善未建档人群补建档：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3、完善档案使用：中心或村卫生室要在居民诊疗、医护人员网格化入户服务时，调取、查阅健康档案，由接诊医生或入户服务的人员根据居民健康状况，及时更新、补充健康档案相应内容。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4、完善居民健康卡发放工作：按照省市卫生主管部门有关居民健康卡发放的要求，积极做好发放前期工作，核实好健康档案中居民基本信息，主要健康问题和服务提供情况的真实性、完整性。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5、完善健康档案归档：纸质健康档案以家庭为单位，统一放在一起，以自然村为单元，统一存放于村卫生室。对死亡或外出人员的健康档案，及时进行归档处置，每月报中心汇报上报。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6、完善健康问题干预和效果评价：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7、完善居民健康档案与新型农村合作医疗工作相结合：利用新型农村合作医疗居民发病报销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8、完善健康档案理，人员要符合有关法律法规规定，接受本项目的培训，且有一定的专业基础和责任心。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