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出纳的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企业出纳工作计划房地产企业出纳工作总结一一、严格遵守并执行公司的财务治理制度和部长的各项要求。二、学习各项业务，不能不懂装懂，要实时彻底地把问题办理失落。1、做好现金、支票、各类单子的保督工作，做到细心、认真、负责;2、做好报销等日常...</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二</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三</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某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某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某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某城”项目是市重点工程，也是“某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某年公司建设工程款总需求是4.6亿元。按“某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某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城”应于20某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五</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围绕“--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市”工程是我市的重点工程，“--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年，公司建设项目总需求4.6亿元。根据--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投资促进</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六</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