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2024年教师个人年度工作计划(6篇)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计划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教师个人年度工作计划二</w:t>
      </w:r>
    </w:p>
    <w:p>
      <w:pPr>
        <w:ind w:left="0" w:right="0" w:firstLine="560"/>
        <w:spacing w:before="450" w:after="450" w:line="312" w:lineRule="auto"/>
      </w:pPr>
      <w:r>
        <w:rPr>
          <w:rFonts w:ascii="宋体" w:hAnsi="宋体" w:eastAsia="宋体" w:cs="宋体"/>
          <w:color w:val="000"/>
          <w:sz w:val="28"/>
          <w:szCs w:val="28"/>
        </w:rPr>
        <w:t xml:space="preserve">（一）工作计划的一般格式：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教师个人年度工作计划三</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 ”的大讨论。对商场硬件设施进行了全面维修和整改，使卖场形象焕然一新。 三、“执行”观念__人心，人力资源不断挖潜。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 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教师个人年度工作计划四</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1。随时更新__软件上的产品内容，新的产品信息的发布，每天抽出1个小时对于__软件上的商机（产品关键词，产品的内容，产品标题）及时的.更新，及时增加新的产品商机。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教师个人年度工作计划五</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20__年工作要紧紧围绕着我院中长期发展规划展开工作。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教师个人年度工作计划六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__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