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最新销售公司年初工作计划(10篇)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销售公司年度工作计划一一、 市场分析目前格兰仕在深圳空调市场的占有率约为2.8%左右,但根据行业数据显示近几年一直处于\"洗牌\"阶段，品牌市场占有率将形成高度的集中化。根据公司的实力及xx年度的产品线,公司xx年度销售目标完全有可能实现.20...</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销售公司年度工作计划一</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20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四、今年对自己有以下要求：年度工作计划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销售公司年度工作计划三</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 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经典哦，针对市场的一些变化和同行业之间的竞争，现在可以拿出一个比较完整的方案应付一些突发事件。对于一个项目可以全程的操作下来。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 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销售公司年度工作计划五</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 xxx万元为依据，公司计划20xx年实现全年保费收入xxx万元，其中：计划将从以下几个方面去实施完成。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销售公司年度工作计划六</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销售公司年度工作计划七</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销售公司年度工作计划八</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销售公司年度工作计划九</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销售公司年度工作计划篇十</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