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最新新公司财务工作计划(19篇)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公司财务工作计划一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新公司财务工作计划一</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新公司财务工作计划二</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新公司财务工作计划四</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新公司财务工作计划七</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新公司财务工作计划八</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新公司财务工作计划篇十一</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新公司财务工作计划篇十二</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新公司财务工作计划篇十六</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_年5月至20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_年虽然开展了此项工作，但离票据兑付要求还有差距，需要进一步规范。20_年底投资股比例%,还差xx个百分点, 需在一季内达到比例。20_年要大力开展增资扩股工作，虽然20_年底县信用社的资本充足率已达到%,但如果按票据兑付考核办法,我县信用社的资本充足率还不足以兑付专项票据,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新公司财务工作计划篇十八</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