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有关社区健康教育工作计划如何写(2篇)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社区健康教育工作计划如何写一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有关社区健康教育工作计划如何写一</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有关社区健康教育工作计划如何写二</w:t>
      </w:r>
    </w:p>
    <w:p>
      <w:pPr>
        <w:ind w:left="0" w:right="0" w:firstLine="560"/>
        <w:spacing w:before="450" w:after="450" w:line="312" w:lineRule="auto"/>
      </w:pPr>
      <w:r>
        <w:rPr>
          <w:rFonts w:ascii="宋体" w:hAnsi="宋体" w:eastAsia="宋体" w:cs="宋体"/>
          <w:color w:val="000"/>
          <w:sz w:val="28"/>
          <w:szCs w:val="28"/>
        </w:rPr>
        <w:t xml:space="preserve">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