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2024年普内科工作计划模板8篇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我们可以更好地评估和利用可用的资源，提高工作效率，工作计划可以帮助我们合理安排时间，提高时间管理能力，以下是小编精心为您推荐的2024年普内科工作计划模板8篇，供大家参考。20xx年，内科将紧紧围绕“提升服务品牌”这一主题，并结...</w:t>
      </w:r>
    </w:p>
    <w:p>
      <w:pPr>
        <w:ind w:left="0" w:right="0" w:firstLine="560"/>
        <w:spacing w:before="450" w:after="450" w:line="312" w:lineRule="auto"/>
      </w:pPr>
      <w:r>
        <w:rPr>
          <w:rFonts w:ascii="宋体" w:hAnsi="宋体" w:eastAsia="宋体" w:cs="宋体"/>
          <w:color w:val="000"/>
          <w:sz w:val="28"/>
          <w:szCs w:val="28"/>
        </w:rPr>
        <w:t xml:space="preserve">制定工作计划我们可以更好地评估和利用可用的资源，提高工作效率，工作计划可以帮助我们合理安排时间，提高时间管理能力，以下是小编精心为您推荐的2024年普内科工作计划模板8篇，供大家参考。</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 院兴我荣，院衰我耻 思想，虽然我们科室目前面临困难较大，但新型合作医疗给我们带来新的机遇和挑战，靠精湛的技术和优质的服务来赢得患者，争创 双赢 全科上下团结一心，增强凝聚力，坚定信心，努力完成各项目作任务，我们坚信，有各级领导大力支持，有院科两级正确领导，更有我科职工齐心协力，我们医院一定会成为 三甲医院 。使人民群众真正放心满意。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2、抓基层质量，培养医生综合能力，提高全科医生跨专业诊疗能力。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忙碌的20xx年即将过去，20xx年我院成功晋级二级甲等医院，医院在硬件和软件上都迈上了新台阶。20xx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xx年医疗工作总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