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律师事务所实习报告(四篇)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一成都，曾被《新周刊》杂志誉为继北京、上海、广州之后的“中国第四城”。作为悠久的历史文化名城，成都在中国经济文化中的地位可见一斑。现又正值中国入世，深化西部大开发的双重历史机遇，如何招商引资，打造城市竞...</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律师事务所的实习报告律师事务所实习报告一</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