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最新会计实习报告范文会计实习报告范文(九篇)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最新会计实习报告范文会计实习报告范文一经多方努力确实联系不到实习单位的学生，必须于20xx年2月20日-22日三天内向班主任递交请求安排模拟实习的书面申请，由系上统一安排进行模拟实习。四、 实习时间20xx年1月20日(周二)至4月30日(...</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最新会计实习报告范文会计实习报告范文一</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最新会计实习报告范文会计实习报告范文八</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最新会计实习报告范文会计实习报告范文九</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为期一个半月的实习结束了，我在这一个半月的实习中学到了很多在课堂上根本就学不到的知识，受益非浅。以下是我的毕业实习报告总结，敬请各位供给宝贵意见。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资料，主要是会计业务（对公业务），其他一般了解的有购货业务、票据业务、贷款业务。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