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关于实习报告范文个人怎么写</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个人怎么写一为了总结经验，发扬成绩，克服不足，以及集团行政部的要求，现将三个月的实习工作总结如下：财务部应算是关键部门之一，对内不仅要求迅速熟悉集团财务制度，熟悉财务软件的操作，而且还应适应不断提升财务管理水平的要求，对外要...</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关于实习报告范文个人怎么写一</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关于实习报告范文个人怎么写二</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