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有关学区主任财务管理述职报告(精)(5篇)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学区主任财务管理述职报告(精)一大家好!x年即将过去，盘点自己在社区主任岗位的这一年，有工作的经验、有学习的收获、实践的感慨，也有反思的遗憾。籍此机会，我也将从自己学习、思想和履职情况等方面向代表们汇报：一、 重视学习，不断提高个人综合...</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有关学区主任财务管理述职报告(精)二</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有关学区主任财务管理述职报告(精)三</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xx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xx区人大，在得到人大重视后，区教育局又找到我做情况调查时，我带领同志们多方奔走，收集居民签名意见呈报，又在学校和教育局之间多次反映社区居民的呼声，最终促成了我社区小学学区就近划归到xxxx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xxx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xxxxxxx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xxxx市“爱国星”家庭称号、xxxx区优秀共产党员称号、xxxx区科学发展观演讲比赛三等奖，并推荐作为xxxx市唯一的社区代表陪同xxxx市长到北京中央文明网作现场网络访谈节目，展示xxxx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xxxx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有关学区主任财务管理述职报告(精)四</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有关学区主任财务管理述职报告(精)五</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