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证券合同:指定管理资金信托合同（自益信托类）</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