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电子商务合同特点优秀(三篇)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电子商务合同特点一法定代表人：_________住址：_________邮编：_________联系电话：_________乙方：_________法定代表人：_________住址：_________邮编：_________联系电话：__...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治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熟悉，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3．甲乙双方本着发挥各安闲节目制作、出版、发行和零售领域的优势，互利互惠，共同促进电子商务在中国应用的目的进行合作。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治理部门定义为音像制品加以治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3．电子出版物：由国内正式出版、发行或经国家有关部门批准直接进口的以数字方式保存的主要用于非线性交互式使用的由国家治理部门定义为电子出版物加以治理的产品，目前的主要形式有cd-rom、dvd-rom等。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4．代理销售：指根据国家的有关治理规定，经版权所有人或版权的合法受让者许可行使展示、销售该版权产品的权利。代理销售方式包括代销、经销现结等。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2．甲方从其他拥有合法知识产权的权利人处或合法的出版经营单位得到并答应甲方向乙方提供用于销售的音像产品、软件产品、电子出版物。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3．甲方负责向乙方提供具有企业内部进行计算机办公治理和企业进销存统计分析的软件系统一套，帮助乙方解决通过网络进行电子商务时出现的有关问题。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假如由于乙方的责任造成不能退货和价格难以保护由乙方承担责任。非凡情况由双方协商解决。</w:t>
      </w:r>
    </w:p>
    <w:p>
      <w:pPr>
        <w:ind w:left="0" w:right="0" w:firstLine="560"/>
        <w:spacing w:before="450" w:after="450" w:line="312" w:lineRule="auto"/>
      </w:pPr>
      <w:r>
        <w:rPr>
          <w:rFonts w:ascii="宋体" w:hAnsi="宋体" w:eastAsia="宋体" w:cs="宋体"/>
          <w:color w:val="000"/>
          <w:sz w:val="28"/>
          <w:szCs w:val="28"/>
        </w:rPr>
        <w:t xml:space="preserve">假如合作双方在协议的执行过程中无任何一方提出终止合同，则在合同到期时自动延长一年。任何一方提出终止合同需要在合同到期前两个月提出。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