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商铺出租合同免费二十篇(优秀)</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商铺出租合同免费一承租方(以下简称乙方)：根据《中华人民共和国经济合同法》、《佛山市商铺租赁条例》(以下简称：《条例》)的规定，为明确甲、乙双方的权利和义务关系，双方在平等、自愿、公平和诚实信用的基础上，经协商一致，就乙方承租甲方所拥有的商...</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佛山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甲方出租给乙方的商铺位置：座落于佛山市南海区丹灶镇金沙上安李家开发区(即金沙中心公路上坊小桥边)，金华联公司员工宿舍楼下南 号商铺。</w:t>
      </w:r>
    </w:p>
    <w:p>
      <w:pPr>
        <w:ind w:left="0" w:right="0" w:firstLine="560"/>
        <w:spacing w:before="450" w:after="450" w:line="312" w:lineRule="auto"/>
      </w:pPr>
      <w:r>
        <w:rPr>
          <w:rFonts w:ascii="宋体" w:hAnsi="宋体" w:eastAsia="宋体" w:cs="宋体"/>
          <w:color w:val="000"/>
          <w:sz w:val="28"/>
          <w:szCs w:val="28"/>
        </w:rPr>
        <w:t xml:space="preserve">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甲、乙双方约定，该商铺每月租金总计为人民币元(大写：元整)，该商铺租金于本合同有效期内不变。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十、房屋门头及广告位的使用甲方同意乙方对该租赁房屋门头、外墙面、门口等广告位的使用。甲方有责任协助乙方进行广告牌的设立。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商铺出租合同免费五</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商铺出租合同免费九</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