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2024书面婚前协议通用版5篇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w:t>
      </w:r>
    </w:p>
    <w:p>
      <w:pPr>
        <w:ind w:left="0" w:right="0" w:firstLine="560"/>
        <w:spacing w:before="450" w:after="450" w:line="312" w:lineRule="auto"/>
      </w:pPr>
      <w:r>
        <w:rPr>
          <w:rFonts w:ascii="宋体" w:hAnsi="宋体" w:eastAsia="宋体" w:cs="宋体"/>
          <w:color w:val="000"/>
          <w:sz w:val="28"/>
          <w:szCs w:val="28"/>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岁月温柔以待。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3、夫妻双方均应遵守《中华人民共和国婚姻法》及其他法律法规所赋予的夫妻之间的法定权利义务，夫妻双方均不可触犯中华人民共和国法律。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(二)位于房屋内财产均为甲方所有;位于房屋内财产均为乙方所有。</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 仅以负债方所有财产为限清偿，不得涉及另一方财产。因一方负债致另一方财产损失 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第六条补充事项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发动机号码______________;木器加工厂一座(资产总价值50万元)，住房一套(____市____区____路______号____居民小区__号，面积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