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最新和物业合作的合同(六篇)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和物业合作的合同一受委托方(以下简称乙方)：________________根据《_经济合同法》、《______物业管理条例》等国家、地方有关法律、法规和政策，在平等、自愿、协商一致的基础上，就甲方委托乙方对______实行专业化、一体化的...</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(二)房屋建筑本体共用设施设备(共用的上下水管道、落水管、垃圾道、共用照明、中央空调、加压供水设备、配电系统、楼内消防设施设备、电梯等)的维修、养护、管理和运行服务;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(五)车辆行驶及停泊(不包括车辆保管责任);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 收款收费项目约定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2、乙方无法处理的收款收费问题，由甲方协助乙方进行处理。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2、若发生上述情况后，甲方不能及时通知乙方，所造成的一切后果、经济责任、法律责任均由甲方负责承担;</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_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10、为了保持市场的整体形象协调一致，乙方不许私自在市场_彩灯、彩旗、条幅、宣传画、张贴不干胶各种字体。按时缴纳工商、地税等部门的相关费用，公平交易、货真价实、童叟无欺。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_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和物业合作的合同六</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