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购买建筑材料合同汇总(十篇)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购买建筑材料合同明细 购买建筑材料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购买建筑材料合同明细 购买建筑材料合同篇十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