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服装代加工合同范本</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合同编号：__________________　　定作方(甲方)_____________________　　承揽方(乙方)_____________________　　一、委托加工项目　　1.委托加工产品：________________...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　　定作方(甲方)_____________________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3.绣制“炜城”标徽工艺的确认;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