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2024年代理合同协议书(5篇)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联系方式：地址：乙方：联系方式：地址：甲、乙双方本着自愿、平等、公平、诚实、信用的原则，经友好协商，根据中华人民共和国有关法律、法规的规定签订本协议，由双方共同遵守。一、合作内容及范围乙方负责开展甲方推荐的产品销售及客户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