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代理瓷砖合同范本(热门8篇)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代理瓷砖合同范本1甲方(需方)：乙方(供方)双方本着“真诚合作，共同发展”的原则，经友好协商，就甲方向乙方购买瓷砖事宜，签订以下条款，以待双方共同遵守。第一条：供货内容产品名称为内墙釉面砖，规格为250mm×400mm白色流星雨，单价18元...</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甲乙双方对________________装修工程予以供应瓷砖材料。根据《_合同法》本着诚信、平等、互惠互利、共同发展的原则达成协议如下：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卫生间墙地砖铺贴完工后，送货前一天甲方向乙方支付货款______________，乙方向甲方送货到现场。(注：600x600抛光砖，600x600仿古砖和波打线)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十、如合同发生纠纷，双方协商不成，可提交xxx裁决。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甲方因工程的建设需要，向乙方订购墙地瓷砖产品，根据《_合同法》及相关法律法规的规定，为规范双方的权利与义务，甲、乙方充分友好协商，达成如下条款：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&gt;第二条交货时间、地点及方式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元；(或定金模式：甲、乙双方签订本合同后甲方支付乙方本合同货款定金%，或按总价款谈定一个定金金额。)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&gt;第四条质量标准及验收标准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1、质量标准：乙方生产陶瓷砖系列产品必须是全新产品，其质量必须符合按照国标GB/T4100-20xx陶瓷砖、《室内装饰装修材料中有害物质限量国家标准》以及其他相关国家标准；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&gt;第五条产品运输、包装及回收</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&gt;第六条验货、换货、余货、补货处理办法</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 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代理瓷砖合同范本7</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代理瓷砖合同范本8</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代理区域： 双方商定的代理区域是 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2、乙方必须保证在 地区经销期间第 年内销售任务达到 元。</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 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 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 50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 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5、在履行本协议过程中发生的任何争议，双方应本着互利双赢的原则进行友好协商解决，协商不成可依据《_合同法》、《产品质量法》向甲方所在地法院提起诉讼。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方：山东诚祥锦宝科技有限公司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