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202_纪律教育月发言材料如何写(五篇)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纪律教育月发言材料如何写一一、完成了学习教育的内容在纪律教育学习月活动中，全科同志主要学习了：《江泽民论党风廉政建设和反腐败斗争》;《中国共产党党内监督条例(试行)》、《中国共产党纪律处分条例》等党内法规;市委书记_在全市纪律教育学习...</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20_纪律教育月发言材料如何写一</w:t>
      </w:r>
    </w:p>
    <w:p>
      <w:pPr>
        <w:ind w:left="0" w:right="0" w:firstLine="560"/>
        <w:spacing w:before="450" w:after="450" w:line="312" w:lineRule="auto"/>
      </w:pPr>
      <w:r>
        <w:rPr>
          <w:rFonts w:ascii="宋体" w:hAnsi="宋体" w:eastAsia="宋体" w:cs="宋体"/>
          <w:color w:val="000"/>
          <w:sz w:val="28"/>
          <w:szCs w:val="28"/>
        </w:rPr>
        <w:t xml:space="preserve">一、完成了学习教育的内容</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江泽民论党风廉政建设和反腐败斗争》;《中国共产党党内监督条例(试行)》、《中国共产党纪律处分条例》等党内法规;市委书记_在全市纪律教育学习月活动动员大会上的重要讲话和_副书记的动员报告，_局长在全局纪律教育学习月活动的动员讲话;以及省纪委组织编写的《为民务实清廉教育读本》和拍摄的正反面典型教育专题片《纵权之祸》和《执着的追求》等电教片;参观了《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二、联系实际，学有所思，思有所悟，悟有所得</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三、深刻领会了“为民、务实、清廉”的精神实质</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20_纪律教育月发言材料如何写二</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_，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_分子”，可以说无一不是手握人、财、物大权的人，_的根源往往是对党规党纪置若罔闻，我行我素，纪律教育学习对下不对已，党规党纪执行上我说了算，上级监督不到，同级不敢监督，下级不清不楚，自己就是上级的化身，吃“公”的用”“公”的不出事不_才怪。这就要求不但要“一把手”、“重要岗位”上的人，也要求广大党员干部都要自觉参加纪律教育学习月活动，坚决执行党规党纪，只有这样制度建设才有保障，制度教育才有效果，_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二、加强制度教育，构筑拒腐防线，防止_发生是根本目的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20_纪律教育月发言材料如何写三</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20_纪律教育月发言材料如何写四</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20_纪律教育月发言材料如何写五</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2025-04-12T07:23:02+08:00</dcterms:created>
  <dcterms:modified xsi:type="dcterms:W3CDTF">2025-04-12T07:23:02+08:00</dcterms:modified>
</cp:coreProperties>
</file>

<file path=docProps/custom.xml><?xml version="1.0" encoding="utf-8"?>
<Properties xmlns="http://schemas.openxmlformats.org/officeDocument/2006/custom-properties" xmlns:vt="http://schemas.openxmlformats.org/officeDocument/2006/docPropsVTypes"/>
</file>