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推荐意识形态风险研讨发言材料和感想(七篇)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意识形态风险研讨发言材料和感想一一直以来，意识形态就是一个非常重要的问题。特别是党的***以来，以习近平同志为核心的党中央对于这个问题给予了极大的关注，提出了许多新要求、新思考。关于意识形态问题，我想从一个事例来导入。这个事例就是20x...</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推荐意识形态风险研讨发言材料和感想二</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以来，以习近平同志为***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把意识形态工作纳入党员培训、组织生活会、党员大会等重要内容。</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推荐意识形态风险研讨发言材料和感想三</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推荐意识形态风险研讨发言材料和感想四</w:t>
      </w:r>
    </w:p>
    <w:p>
      <w:pPr>
        <w:ind w:left="0" w:right="0" w:firstLine="560"/>
        <w:spacing w:before="450" w:after="450" w:line="312" w:lineRule="auto"/>
      </w:pPr>
      <w:r>
        <w:rPr>
          <w:rFonts w:ascii="宋体" w:hAnsi="宋体" w:eastAsia="宋体" w:cs="宋体"/>
          <w:color w:val="000"/>
          <w:sz w:val="28"/>
          <w:szCs w:val="28"/>
        </w:rPr>
        <w:t xml:space="preserve">按照xxx要求，xx党委现将意识形态风险隐患排查报告如下：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推荐意识形态风险研讨发言材料和感想五</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