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主题新时代人才谈中心发言精选(四篇)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新时代人才谈中心发言精选一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主题新时代人才谈中心发言精选一</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主题新时代人才谈中心发言精选二</w:t>
      </w:r>
    </w:p>
    <w:p>
      <w:pPr>
        <w:ind w:left="0" w:right="0" w:firstLine="560"/>
        <w:spacing w:before="450" w:after="450" w:line="312" w:lineRule="auto"/>
      </w:pPr>
      <w:r>
        <w:rPr>
          <w:rFonts w:ascii="宋体" w:hAnsi="宋体" w:eastAsia="宋体" w:cs="宋体"/>
          <w:color w:val="000"/>
          <w:sz w:val="28"/>
          <w:szCs w:val="28"/>
        </w:rPr>
        <w:t xml:space="preserve">近年来，**县人大常委会认真学习贯彻习近平***重要思想，做好新时代人大工作方面的理论探索和实践创新，紧紧围绕县委决策部署和全县工作大局，充分发挥好地方权力机关的职能作用，在做实五个“常规动作”的基础上，创新三个“自选动作”，做到常规动作重成效，自选动作创特色，扎实做好新时代人大工作，有力地推进了全县的民主政治建设，也为推动全县经济社会协调持续健康发展作出了积极的贡献。</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主题新时代人才谈中心发言精选四</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