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乡镇领导党史学习研讨发言材料范文三篇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以下是为大家整理的关于乡镇领导党史学习研讨发言材料的文章3篇 ,欢迎品鉴！乡镇领导党史学习研讨发言材料篇1　　百年党史是我们弥足珍贵的政治财富和精神瑰宝，是我们不忘初心、牢...</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以下是为大家整理的关于乡镇领导党史学习研讨发言材料的文章3篇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乡镇领导党史学习研讨发言材料篇3</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