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关于意识形态专题讨论发言稿【九篇】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以下是为大家整理的关于意识形态专题讨论发言稿的文章9篇 ,欢迎品鉴！意识形态专题讨论发言稿篇1　　党的十八大以来，习近平同志站在战略和全局高度，就抓好意识形态工作作出一系列重要论述，要求各级党委对意识...</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以下是为大家整理的关于意识形态专题讨论发言稿的文章9篇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意识形态专题讨论发言稿篇1</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意识形态专题讨论发言稿篇2</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意识形态专题讨论发言稿篇3</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&gt;三、强化措施，狠抓落实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意识形态专题讨论发言稿篇4</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意识形态专题讨论发言稿篇5</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意识形态专题讨论发言稿篇6</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意识形态专题讨论发言稿篇8</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意识形态专题讨论发言稿篇9</w:t>
      </w:r>
    </w:p>
    <w:p>
      <w:pPr>
        <w:ind w:left="0" w:right="0" w:firstLine="560"/>
        <w:spacing w:before="450" w:after="450" w:line="312" w:lineRule="auto"/>
      </w:pPr>
      <w:r>
        <w:rPr>
          <w:rFonts w:ascii="宋体" w:hAnsi="宋体" w:eastAsia="宋体" w:cs="宋体"/>
          <w:color w:val="000"/>
          <w:sz w:val="28"/>
          <w:szCs w:val="28"/>
        </w:rPr>
        <w:t xml:space="preserve">　　《党委(党组)落实意识形态工作职责制考核评价办法》(宿豫办发〔_〕12号)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　　&gt;一、进取开展意识形态工作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守键。一是科学部署党建工作。_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　　&gt;二、实施理论武装工程，努力提升党员干部素质水平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资料，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职责制实施方案》(宿豫办发〔_〕29号)的相关精神，专门研究制定了《下相街道党工委意识形态工作职责制实施方案》(下相工委发〔_〕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_，先后有“张晓莉、路露”被评为“宿迁好人”，“陈继荣、罗艳龙”被评为“宿豫好人”。加强与上级主流媒体的联动合作，攻大报、上头条重头，力争对外宣传实现新的突破，不断提升的知名、美誉度和影响力，_，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&gt;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_，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&gt;　　五、实施礼貌创立工程，着力提高农村精神礼貌程度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_，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2024-11-22T14:03:09+08:00</dcterms:created>
  <dcterms:modified xsi:type="dcterms:W3CDTF">2024-11-22T14:03:09+08:00</dcterms:modified>
</cp:coreProperties>
</file>

<file path=docProps/custom.xml><?xml version="1.0" encoding="utf-8"?>
<Properties xmlns="http://schemas.openxmlformats.org/officeDocument/2006/custom-properties" xmlns:vt="http://schemas.openxmlformats.org/officeDocument/2006/docPropsVTypes"/>
</file>