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在市政协会议小组讨论时的发言</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精心为大家整理了在市政协会议小组讨论时的发言，希望对你有帮助。[_TAG_h2]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