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新冠疫情演讲稿范文(通用6篇)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以下是为大家整理的关于新冠疫情演讲稿的文章6篇 ,欢迎品鉴！新冠疫情演讲稿篇1　　大家好!　　大年三十，我们一家围坐在一起看春节联欢晚会。可是，我们却不知道，一些医生护士正急急...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以下是为大家整理的关于新冠疫情演讲稿的文章6篇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新冠疫情演讲稿篇2</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_年爆发的SARS疫情，科学家用5个多月的时间才最终确定为新型冠状病毒;20_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新冠疫情演讲稿篇3</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新冠疫情演讲稿篇4</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　　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　　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　　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　　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　　不管是值班站岗，还是宣传引导，疫情防控工作一刻也不能松懈。从我做起、从身边做起，自觉做好防控，正是基层干部群众为疫情防控做出的贡献。</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　　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新冠疫情演讲稿篇6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