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在全区党史学习教育动员大会上的讲话【3篇】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以下是为大家整理的关于在全区党史学习教育动员大会上的讲话的文章3篇 ,欢迎品鉴！【篇1】在全区党史学习教育动员大会上的讲话　　党史学习教育动员大会2月20日上午在北京召开。中共中央总书记、国家主席...</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以下是为大家整理的关于在全区党史学习教育动员大会上的讲话的文章3篇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【篇1】在全区党史学习教育动员大会上的讲话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月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中共中央政治局常委李克强、栗战书、汪洋、赵乐际、韩正，国家副主席王岐山出席会议，中共中央政治局常委王沪宁主持会议。</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宋体" w:hAnsi="宋体" w:eastAsia="宋体" w:cs="宋体"/>
          <w:color w:val="000"/>
          <w:sz w:val="28"/>
          <w:szCs w:val="28"/>
        </w:rPr>
        <w:t xml:space="preserve">　　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中共中央政治局委员、中央书记处书记，全国人大常委会党员副委员长，国务委员，最高人民法院院长，最高人民检察院检察长，全国政协党员副主席，以及中央军委委员出席会议。</w:t>
      </w:r>
    </w:p>
    <w:p>
      <w:pPr>
        <w:ind w:left="0" w:right="0" w:firstLine="560"/>
        <w:spacing w:before="450" w:after="450" w:line="312" w:lineRule="auto"/>
      </w:pPr>
      <w:r>
        <w:rPr>
          <w:rFonts w:ascii="宋体" w:hAnsi="宋体" w:eastAsia="宋体" w:cs="宋体"/>
          <w:color w:val="000"/>
          <w:sz w:val="28"/>
          <w:szCs w:val="28"/>
        </w:rPr>
        <w:t xml:space="preserve">　　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pPr>
        <w:ind w:left="0" w:right="0" w:firstLine="560"/>
        <w:spacing w:before="450" w:after="450" w:line="312" w:lineRule="auto"/>
      </w:pPr>
      <w:r>
        <w:rPr>
          <w:rFonts w:ascii="黑体" w:hAnsi="黑体" w:eastAsia="黑体" w:cs="黑体"/>
          <w:color w:val="000000"/>
          <w:sz w:val="36"/>
          <w:szCs w:val="36"/>
          <w:b w:val="1"/>
          <w:bCs w:val="1"/>
        </w:rPr>
        <w:t xml:space="preserve">【篇2】在全区党史学习教育动员大会上的讲话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3月2日下午，省委副书记、省政府党组书记、省长林武主持召开省政府党组会议暨党组理论学习中心组专题学习会，深入学习贯彻习近平总书记在党史学习教育动员大会上的重要讲话精神，贯彻落实全省党史学习教育部署会要求。</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会议强调，省政府党组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【篇3】在全区党史学习教育动员大会上的讲话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