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乡村振兴局局长党史学习教育专题民主生活会发言稿范文(通用6篇)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