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党支部书记任职表态发言稿集合7篇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书记任职表态发言稿集合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书记任职表态发言稿集合7篇，欢迎大家借鉴与参考，希望对大家有所帮助。[_TAG_h2]党支部书记任职表态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w:t>
      </w:r>
    </w:p>
    <w:p>
      <w:pPr>
        <w:ind w:left="0" w:right="0" w:firstLine="560"/>
        <w:spacing w:before="450" w:after="450" w:line="312" w:lineRule="auto"/>
      </w:pPr>
      <w:r>
        <w:rPr>
          <w:rFonts w:ascii="宋体" w:hAnsi="宋体" w:eastAsia="宋体" w:cs="宋体"/>
          <w:color w:val="000"/>
          <w:sz w:val="28"/>
          <w:szCs w:val="28"/>
        </w:rPr>
        <w:t xml:space="preserve">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