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关于县委书记听取巡察情况汇报时的讲话【三篇】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以下是为大家整理的关于县委书记听取巡察情况汇报时的讲话的文章3篇 ,欢迎品鉴！县委书记听取巡察情况汇报时的讲话篇1　　根据县委20_-20_年巡察工作规划，今年县委第五巡察组对工信委开展...</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以下是为大家整理的关于县委书记听取巡察情况汇报时的讲话的文章3篇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县委书记听取巡察情况汇报时的讲话篇1</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县委书记听取巡察情况汇报时的讲话篇2</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县委书记听取巡察情况汇报时的讲话篇3</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