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端午临中夏，时清日复长。端午节，又称端阳节、重午节、龙日、龙舟节、正阳节、浴兰节、天中节等，是中国民间传统节日。下面是小编收集整理的端午节演讲最新，大家一起来看看吧。端午节演讲最新1老师们，同学们：早上好!农历五月初五，是我们中华民族的传统...</w:t>
      </w:r>
    </w:p>
    <w:p>
      <w:pPr>
        <w:ind w:left="0" w:right="0" w:firstLine="560"/>
        <w:spacing w:before="450" w:after="450" w:line="312" w:lineRule="auto"/>
      </w:pPr>
      <w:r>
        <w:rPr>
          <w:rFonts w:ascii="宋体" w:hAnsi="宋体" w:eastAsia="宋体" w:cs="宋体"/>
          <w:color w:val="000"/>
          <w:sz w:val="28"/>
          <w:szCs w:val="28"/>
        </w:rPr>
        <w:t xml:space="preserve">端午临中夏，时清日复长。端午节，又称端阳节、重午节、龙日、龙舟节、正阳节、浴兰节、天中节等，是中国民间传统节日。下面是小编收集整理的端午节演讲最新，大家一起来看看吧。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x月x日，也就是本周x。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