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202_年度学党史强信念跟党走专题组织生活会发言(通用3篇)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&amp;nbsp&amp;nbsp****** 以下是为大家整理的关于20_年度学党史强信念跟党走专题组织生活会发言的文章3篇 ,欢迎品鉴！20_年度学党史强信念跟党走专题组织生活会发言篇1　　通过学习党的十九届六中全会精神、习近平总书记在庆祝中国共产党...</w:t>
      </w:r>
    </w:p>
    <w:p>
      <w:pPr>
        <w:ind w:left="0" w:right="0" w:firstLine="560"/>
        <w:spacing w:before="450" w:after="450" w:line="312" w:lineRule="auto"/>
      </w:pPr>
      <w:r>
        <w:rPr>
          <w:rFonts w:ascii="宋体" w:hAnsi="宋体" w:eastAsia="宋体" w:cs="宋体"/>
          <w:color w:val="000"/>
          <w:sz w:val="28"/>
          <w:szCs w:val="28"/>
        </w:rPr>
        <w:t xml:space="preserve">&amp;nbsp&amp;nbsp****** 以下是为大家整理的关于20_年度学党史强信念跟党走专题组织生活会发言的文章3篇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20_年度学党史强信念跟党走专题组织生活会发言篇1</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20_年度学党史强信念跟党走专题组织生活会发言篇2</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牢记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20_年度学党史强信念跟党走专题组织生活会发言篇3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