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202_个人民主生活会存在问题担当作为方面发言材料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huó，意思是指在政治生活中发扬民主。本站今天为大家精心准备了20_个人民主生活会存在问题担当作为方面发言材料，希望对大家有所帮助!　　20_个人民主生活会存在问题担当作为方面发言材...</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huó，意思是指在政治生活中发扬民主。本站今天为大家精心准备了20_个人民主生活会存在问题担当作为方面发言材料，希望对大家有所帮助![_TAG_h2]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关于认真开好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