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在新提拔领导干部廉政谈话会上的讲话稿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在新提拔领导干部廉政谈话会上的讲话稿　　同志们：　　为贯彻全面从严治党要求，落实省委党风廉政建设约谈制度和市委关于新任领导干部集体廉政谈话制度，今天委党组专门组织召开20_年度领导干部集体约谈暨新提拔领导干部廉政谈话会，组织各部门各单位...</w:t>
      </w:r>
    </w:p>
    <w:p>
      <w:pPr>
        <w:ind w:left="0" w:right="0" w:firstLine="560"/>
        <w:spacing w:before="450" w:after="450" w:line="312" w:lineRule="auto"/>
      </w:pPr>
      <w:r>
        <w:rPr>
          <w:rFonts w:ascii="黑体" w:hAnsi="黑体" w:eastAsia="黑体" w:cs="黑体"/>
          <w:color w:val="000000"/>
          <w:sz w:val="36"/>
          <w:szCs w:val="36"/>
          <w:b w:val="1"/>
          <w:bCs w:val="1"/>
        </w:rPr>
        <w:t xml:space="preserve">　　在新提拔领导干部廉政谈话会上的讲话稿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全面从严治党要求，落实省委党风廉政建设约谈制度和市委关于新任领导干部集体廉政谈话制度，今天委党组专门组织召开20_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　　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　　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　　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　　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2025-04-03T11:20:39+08:00</dcterms:created>
  <dcterms:modified xsi:type="dcterms:W3CDTF">2025-04-03T11:20:39+08:00</dcterms:modified>
</cp:coreProperties>
</file>

<file path=docProps/custom.xml><?xml version="1.0" encoding="utf-8"?>
<Properties xmlns="http://schemas.openxmlformats.org/officeDocument/2006/custom-properties" xmlns:vt="http://schemas.openxmlformats.org/officeDocument/2006/docPropsVTypes"/>
</file>