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在全市政法队伍教育整顿动员部署会上的讲话范文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在全市政法队伍教育整顿动员部署会上的讲话范文　　同志们：　　开展政法队伍教育整顿，是以习近平同志为核心的党中央着眼党和国家事业发展全局作出的重大决策部署，是政法战线全面从严管党治警的重大行动，是推动政法工作高质量发展的必然要求，也是走好...</w:t>
      </w:r>
    </w:p>
    <w:p>
      <w:pPr>
        <w:ind w:left="0" w:right="0" w:firstLine="560"/>
        <w:spacing w:before="450" w:after="450" w:line="312" w:lineRule="auto"/>
      </w:pPr>
      <w:r>
        <w:rPr>
          <w:rFonts w:ascii="黑体" w:hAnsi="黑体" w:eastAsia="黑体" w:cs="黑体"/>
          <w:color w:val="000000"/>
          <w:sz w:val="36"/>
          <w:szCs w:val="36"/>
          <w:b w:val="1"/>
          <w:bCs w:val="1"/>
        </w:rPr>
        <w:t xml:space="preserve">　　在全市政法队伍教育整顿动员部署会上的讲话范文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　　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　　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　　一要着力聚焦开展政法队伍教育整顿的目标任务。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要紧紧扭住学习教育、查纠整改、总结提升三大关键环节，确保教育整顿有力有序有效深入推进。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三要切实加强对开展政法队伍教育整顿的组织领导。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2025-04-25T08:27:33+08:00</dcterms:created>
  <dcterms:modified xsi:type="dcterms:W3CDTF">2025-04-25T08:27:33+08:00</dcterms:modified>
</cp:coreProperties>
</file>

<file path=docProps/custom.xml><?xml version="1.0" encoding="utf-8"?>
<Properties xmlns="http://schemas.openxmlformats.org/officeDocument/2006/custom-properties" xmlns:vt="http://schemas.openxmlformats.org/officeDocument/2006/docPropsVTypes"/>
</file>