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政府工作报告审议发言材料(通用6篇)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以下是为大家整理的关于政府工作报告审议发言材料的文章6篇 ,欢迎品鉴！第1篇: 政府工作报告审议发言材料　　各位代表：　　今天上午，我们听取了贾省长代表省政府向省十届人大二...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以下是为大家整理的关于政府工作报告审议发言材料的文章6篇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