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镇人大代表审议政府工作报告发言【9篇】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以下是为大家整理的关于镇人大代表审议政府工作报告发言的文章9篇 ,欢迎品鉴！第一篇: 镇人大代表审议政府工作报告发言&gt;　　一、拿实招解决群众“信访不信法”的问题。　　近年来...</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以下是为大家整理的关于镇人大代表审议政府工作报告发言的文章9篇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第六篇: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第七篇: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镇人大代表审议政府工作报告发言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